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C61C2" w14:textId="77777777" w:rsidR="006A787A" w:rsidRPr="003B28F8" w:rsidRDefault="00DC2E50">
      <w:pPr>
        <w:pStyle w:val="BodyText"/>
        <w:spacing w:before="53"/>
        <w:ind w:left="101" w:firstLine="0"/>
      </w:pPr>
      <w:r>
        <w:t>ARTICLES OF ASSOCIATION OF MTÜ ARENGUKOOSTÖÖ ÜMARLAUD</w:t>
      </w:r>
    </w:p>
    <w:p w14:paraId="0DBF1BFB" w14:textId="77777777" w:rsidR="006A787A" w:rsidRPr="003B28F8" w:rsidRDefault="006A787A">
      <w:pPr>
        <w:spacing w:before="8"/>
        <w:rPr>
          <w:rFonts w:ascii="Arial" w:eastAsia="Arial" w:hAnsi="Arial" w:cs="Arial"/>
          <w:sz w:val="20"/>
          <w:szCs w:val="20"/>
          <w:lang w:val="et-EE"/>
        </w:rPr>
      </w:pPr>
    </w:p>
    <w:p w14:paraId="77A1311D" w14:textId="77777777" w:rsidR="006A787A" w:rsidRPr="003B28F8" w:rsidRDefault="00DC2E50">
      <w:pPr>
        <w:numPr>
          <w:ilvl w:val="0"/>
          <w:numId w:val="1"/>
        </w:numPr>
        <w:tabs>
          <w:tab w:val="left" w:pos="582"/>
        </w:tabs>
        <w:spacing w:line="246" w:lineRule="auto"/>
        <w:ind w:right="263" w:hanging="360"/>
        <w:rPr>
          <w:rFonts w:ascii="Arial" w:eastAsia="Arial" w:hAnsi="Arial" w:cs="Arial"/>
          <w:sz w:val="20"/>
          <w:szCs w:val="20"/>
        </w:rPr>
      </w:pPr>
      <w:r>
        <w:rPr>
          <w:rFonts w:ascii="Tahoma" w:hAnsi="Tahoma"/>
          <w:b/>
          <w:sz w:val="20"/>
        </w:rPr>
        <w:t xml:space="preserve">MTÜ Arengukoostöö Ümarlaud </w:t>
      </w:r>
      <w:r>
        <w:rPr>
          <w:rFonts w:ascii="Arial" w:hAnsi="Arial"/>
          <w:sz w:val="20"/>
        </w:rPr>
        <w:t>(hereinafter acronym:</w:t>
      </w:r>
      <w:r>
        <w:rPr>
          <w:rFonts w:ascii="Tahoma" w:hAnsi="Tahoma"/>
          <w:b/>
          <w:sz w:val="20"/>
        </w:rPr>
        <w:t xml:space="preserve"> AKÜ</w:t>
      </w:r>
      <w:r>
        <w:rPr>
          <w:rFonts w:ascii="Arial" w:hAnsi="Arial"/>
          <w:sz w:val="20"/>
        </w:rPr>
        <w:t xml:space="preserve">), in English: </w:t>
      </w:r>
      <w:r>
        <w:rPr>
          <w:rFonts w:ascii="Arial" w:hAnsi="Arial"/>
          <w:b/>
          <w:bCs/>
          <w:sz w:val="20"/>
        </w:rPr>
        <w:t>Estonian Roundtable for Development Cooperation</w:t>
      </w:r>
      <w:r>
        <w:rPr>
          <w:rFonts w:ascii="Arial" w:hAnsi="Arial"/>
          <w:sz w:val="20"/>
        </w:rPr>
        <w:t>, is a voluntary Tallinn-based association of organisations interested in and promoting development cooperation and global sustainable development, acting in public interest.</w:t>
      </w:r>
    </w:p>
    <w:p w14:paraId="7DE629EE" w14:textId="77777777" w:rsidR="006A787A" w:rsidRPr="003B28F8" w:rsidRDefault="006A787A">
      <w:pPr>
        <w:spacing w:before="3"/>
        <w:rPr>
          <w:rFonts w:ascii="Arial" w:eastAsia="Arial" w:hAnsi="Arial" w:cs="Arial"/>
          <w:sz w:val="21"/>
          <w:szCs w:val="21"/>
          <w:lang w:val="et-EE"/>
        </w:rPr>
      </w:pPr>
    </w:p>
    <w:p w14:paraId="01E38E2B" w14:textId="77777777" w:rsidR="006A787A" w:rsidRPr="003B28F8" w:rsidRDefault="00DC2E50">
      <w:pPr>
        <w:pStyle w:val="BodyText"/>
        <w:numPr>
          <w:ilvl w:val="0"/>
          <w:numId w:val="1"/>
        </w:numPr>
        <w:tabs>
          <w:tab w:val="left" w:pos="582"/>
        </w:tabs>
        <w:spacing w:line="250" w:lineRule="auto"/>
        <w:ind w:right="263" w:hanging="360"/>
      </w:pPr>
      <w:r>
        <w:t>The aim of AKÜ is to promote the sustainability and efficiency of development cooperation, contribute to the achievement of global sustainable development goals, notify the public of matters concerning development cooperation and sustainable development, stand up for the common interests of its members and support and empower the associations working in Estonia for global sustainable development.</w:t>
      </w:r>
    </w:p>
    <w:p w14:paraId="11D1C118" w14:textId="77777777" w:rsidR="006A787A" w:rsidRPr="003B28F8" w:rsidRDefault="006A787A">
      <w:pPr>
        <w:spacing w:before="11"/>
        <w:rPr>
          <w:rFonts w:ascii="Arial" w:eastAsia="Arial" w:hAnsi="Arial" w:cs="Arial"/>
          <w:sz w:val="20"/>
          <w:szCs w:val="20"/>
          <w:lang w:val="et-EE"/>
        </w:rPr>
      </w:pPr>
    </w:p>
    <w:p w14:paraId="36E97569" w14:textId="77777777" w:rsidR="006A787A" w:rsidRPr="003B28F8" w:rsidRDefault="00DC2E50">
      <w:pPr>
        <w:pStyle w:val="BodyText"/>
        <w:numPr>
          <w:ilvl w:val="0"/>
          <w:numId w:val="1"/>
        </w:numPr>
        <w:tabs>
          <w:tab w:val="left" w:pos="582"/>
        </w:tabs>
        <w:spacing w:line="250" w:lineRule="auto"/>
        <w:ind w:right="1497" w:hanging="360"/>
      </w:pPr>
      <w:r>
        <w:t>Any non-profit organisation or foundation registered in Estonia, acting in public interest and operating in the field of sustainable global development may become a member of AKÜ.</w:t>
      </w:r>
    </w:p>
    <w:p w14:paraId="354A16C2" w14:textId="77777777" w:rsidR="006A787A" w:rsidRPr="003B28F8" w:rsidRDefault="006A787A">
      <w:pPr>
        <w:spacing w:before="11"/>
        <w:rPr>
          <w:rFonts w:ascii="Arial" w:eastAsia="Arial" w:hAnsi="Arial" w:cs="Arial"/>
          <w:sz w:val="20"/>
          <w:szCs w:val="20"/>
          <w:lang w:val="et-EE"/>
        </w:rPr>
      </w:pPr>
    </w:p>
    <w:p w14:paraId="7657F39B" w14:textId="77777777" w:rsidR="006A787A" w:rsidRPr="003B28F8" w:rsidRDefault="00DC2E50">
      <w:pPr>
        <w:pStyle w:val="BodyText"/>
        <w:numPr>
          <w:ilvl w:val="0"/>
          <w:numId w:val="1"/>
        </w:numPr>
        <w:tabs>
          <w:tab w:val="left" w:pos="582"/>
        </w:tabs>
        <w:spacing w:line="250" w:lineRule="auto"/>
        <w:ind w:right="263" w:hanging="360"/>
      </w:pPr>
      <w:r>
        <w:t>To become a member of or be excluded from AKÜ, the applicant shall submit a written application. The decision shall be made by the supervisory board of AKÜ within 30 days or, if the applicant objects to the refusal by the supervisory board, by the next general meeting.</w:t>
      </w:r>
    </w:p>
    <w:p w14:paraId="27296710" w14:textId="77777777" w:rsidR="006A787A" w:rsidRPr="003B28F8" w:rsidRDefault="006A787A">
      <w:pPr>
        <w:spacing w:before="11"/>
        <w:rPr>
          <w:rFonts w:ascii="Arial" w:eastAsia="Arial" w:hAnsi="Arial" w:cs="Arial"/>
          <w:sz w:val="20"/>
          <w:szCs w:val="20"/>
          <w:lang w:val="et-EE"/>
        </w:rPr>
      </w:pPr>
    </w:p>
    <w:p w14:paraId="7A639E0F" w14:textId="77777777" w:rsidR="006A787A" w:rsidRPr="003B28F8" w:rsidRDefault="00DC2E50">
      <w:pPr>
        <w:pStyle w:val="BodyText"/>
        <w:numPr>
          <w:ilvl w:val="0"/>
          <w:numId w:val="1"/>
        </w:numPr>
        <w:tabs>
          <w:tab w:val="left" w:pos="582"/>
        </w:tabs>
        <w:spacing w:line="250" w:lineRule="auto"/>
        <w:ind w:right="263" w:hanging="360"/>
      </w:pPr>
      <w:r>
        <w:t>A member may be excluded in accordance with and on the basis of the procedure laid down by law if 2/3 of the votes of the supervisory board are in favour, if the member fails to comply with the code of ethics of non-governmental organisations, has not attended any general meetings for the past three years or no longer meets the conditions for membership.</w:t>
      </w:r>
    </w:p>
    <w:p w14:paraId="5AB3B011" w14:textId="77777777" w:rsidR="006A787A" w:rsidRPr="003B28F8" w:rsidRDefault="006A787A">
      <w:pPr>
        <w:spacing w:before="11"/>
        <w:rPr>
          <w:rFonts w:ascii="Arial" w:eastAsia="Arial" w:hAnsi="Arial" w:cs="Arial"/>
          <w:sz w:val="20"/>
          <w:szCs w:val="20"/>
          <w:lang w:val="et-EE"/>
        </w:rPr>
      </w:pPr>
    </w:p>
    <w:p w14:paraId="3A765784" w14:textId="77777777" w:rsidR="006A787A" w:rsidRPr="003B28F8" w:rsidRDefault="00DC2E50">
      <w:pPr>
        <w:pStyle w:val="BodyText"/>
        <w:numPr>
          <w:ilvl w:val="0"/>
          <w:numId w:val="1"/>
        </w:numPr>
        <w:tabs>
          <w:tab w:val="left" w:pos="582"/>
        </w:tabs>
        <w:ind w:hanging="360"/>
      </w:pPr>
      <w:r>
        <w:t>The members of AKÜ shall have all rights arising from the law, and the obligations of the members shall be laid down by the general meeting.</w:t>
      </w:r>
    </w:p>
    <w:p w14:paraId="69082689" w14:textId="77777777" w:rsidR="006A787A" w:rsidRPr="003B28F8" w:rsidRDefault="006A787A">
      <w:pPr>
        <w:spacing w:before="9"/>
        <w:rPr>
          <w:rFonts w:ascii="Arial" w:eastAsia="Arial" w:hAnsi="Arial" w:cs="Arial"/>
          <w:sz w:val="21"/>
          <w:szCs w:val="21"/>
          <w:lang w:val="et-EE"/>
        </w:rPr>
      </w:pPr>
    </w:p>
    <w:p w14:paraId="78BB4FD3" w14:textId="77777777" w:rsidR="006A787A" w:rsidRPr="003B28F8" w:rsidRDefault="00DC2E50">
      <w:pPr>
        <w:pStyle w:val="BodyText"/>
        <w:numPr>
          <w:ilvl w:val="0"/>
          <w:numId w:val="1"/>
        </w:numPr>
        <w:tabs>
          <w:tab w:val="left" w:pos="582"/>
        </w:tabs>
        <w:spacing w:line="250" w:lineRule="auto"/>
        <w:ind w:right="182" w:hanging="360"/>
      </w:pPr>
      <w:r>
        <w:rPr>
          <w:color w:val="323232"/>
        </w:rPr>
        <w:t>The supervisory board may grant different statuses outside the membership (e.g. supporting or honorary members) who are not subject to the rights and obligations of the members under the law and the articles of association.</w:t>
      </w:r>
    </w:p>
    <w:p w14:paraId="44F24DBC" w14:textId="77777777" w:rsidR="006A787A" w:rsidRPr="003B28F8" w:rsidRDefault="006A787A">
      <w:pPr>
        <w:spacing w:before="11"/>
        <w:rPr>
          <w:rFonts w:ascii="Arial" w:eastAsia="Arial" w:hAnsi="Arial" w:cs="Arial"/>
          <w:sz w:val="20"/>
          <w:szCs w:val="20"/>
          <w:lang w:val="et-EE"/>
        </w:rPr>
      </w:pPr>
    </w:p>
    <w:p w14:paraId="1E9CF759" w14:textId="77777777" w:rsidR="006A787A" w:rsidRPr="003B28F8" w:rsidRDefault="00DC2E50">
      <w:pPr>
        <w:pStyle w:val="BodyText"/>
        <w:numPr>
          <w:ilvl w:val="0"/>
          <w:numId w:val="1"/>
        </w:numPr>
        <w:tabs>
          <w:tab w:val="left" w:pos="582"/>
        </w:tabs>
        <w:spacing w:line="250" w:lineRule="auto"/>
        <w:ind w:right="263" w:hanging="360"/>
      </w:pPr>
      <w:r>
        <w:rPr>
          <w:color w:val="323232"/>
        </w:rPr>
        <w:t>Notice of calling a general meeting shall be given by e-mail at least 14 calendar days in advance. The general meeting shall be competent to adopt resolutions regardless of the number of participants. Resolutions shall be adopted in accordance with the law.</w:t>
      </w:r>
    </w:p>
    <w:p w14:paraId="06C9C0D7" w14:textId="77777777" w:rsidR="006A787A" w:rsidRPr="003B28F8" w:rsidRDefault="006A787A">
      <w:pPr>
        <w:spacing w:before="11"/>
        <w:rPr>
          <w:rFonts w:ascii="Arial" w:eastAsia="Arial" w:hAnsi="Arial" w:cs="Arial"/>
          <w:sz w:val="20"/>
          <w:szCs w:val="20"/>
          <w:lang w:val="et-EE"/>
        </w:rPr>
      </w:pPr>
    </w:p>
    <w:p w14:paraId="04F7B1BB" w14:textId="77777777" w:rsidR="006A787A" w:rsidRPr="003B28F8" w:rsidRDefault="00DC2E50">
      <w:pPr>
        <w:pStyle w:val="BodyText"/>
        <w:numPr>
          <w:ilvl w:val="0"/>
          <w:numId w:val="1"/>
        </w:numPr>
        <w:tabs>
          <w:tab w:val="left" w:pos="582"/>
        </w:tabs>
        <w:spacing w:line="250" w:lineRule="auto"/>
        <w:ind w:right="263" w:hanging="360"/>
      </w:pPr>
      <w:r>
        <w:rPr>
          <w:color w:val="323232"/>
        </w:rPr>
        <w:t>Between the general meetings, the tasks of the general meeting shall be performed by the meeting of representatives (the supervisory board), which shall be competent to elect members of the management board, supervise the activities of the management board, extend and restrict the representation rights of the management board and approve the budget and activity plan of AKÜ as prepared by the management board, and approve annual reports before presentation to the general meeting.</w:t>
      </w:r>
    </w:p>
    <w:p w14:paraId="2D69FA33" w14:textId="77777777" w:rsidR="006A787A" w:rsidRPr="003B28F8" w:rsidRDefault="006A787A">
      <w:pPr>
        <w:spacing w:before="11"/>
        <w:rPr>
          <w:rFonts w:ascii="Arial" w:eastAsia="Arial" w:hAnsi="Arial" w:cs="Arial"/>
          <w:sz w:val="20"/>
          <w:szCs w:val="20"/>
          <w:lang w:val="et-EE"/>
        </w:rPr>
      </w:pPr>
    </w:p>
    <w:p w14:paraId="55B030E5" w14:textId="77777777" w:rsidR="006A787A" w:rsidRPr="003B28F8" w:rsidRDefault="00DC2E50">
      <w:pPr>
        <w:pStyle w:val="BodyText"/>
        <w:numPr>
          <w:ilvl w:val="0"/>
          <w:numId w:val="1"/>
        </w:numPr>
        <w:tabs>
          <w:tab w:val="left" w:pos="582"/>
        </w:tabs>
        <w:spacing w:line="250" w:lineRule="auto"/>
        <w:ind w:right="274" w:hanging="360"/>
      </w:pPr>
      <w:r>
        <w:rPr>
          <w:color w:val="323232"/>
        </w:rPr>
        <w:t>The supervisory board shall be composed of up to seven members elected by the general meeting from the candidates proposed by the members for a period of three years.</w:t>
      </w:r>
    </w:p>
    <w:p w14:paraId="6350AE23" w14:textId="77777777" w:rsidR="006A787A" w:rsidRPr="003B28F8" w:rsidRDefault="006A787A">
      <w:pPr>
        <w:spacing w:before="11"/>
        <w:rPr>
          <w:rFonts w:ascii="Arial" w:eastAsia="Arial" w:hAnsi="Arial" w:cs="Arial"/>
          <w:sz w:val="20"/>
          <w:szCs w:val="20"/>
          <w:lang w:val="et-EE"/>
        </w:rPr>
      </w:pPr>
    </w:p>
    <w:p w14:paraId="2935529A" w14:textId="77777777" w:rsidR="006A787A" w:rsidRPr="003B28F8" w:rsidRDefault="00DC2E50">
      <w:pPr>
        <w:pStyle w:val="BodyText"/>
        <w:numPr>
          <w:ilvl w:val="0"/>
          <w:numId w:val="1"/>
        </w:numPr>
        <w:tabs>
          <w:tab w:val="left" w:pos="582"/>
        </w:tabs>
        <w:spacing w:line="250" w:lineRule="auto"/>
        <w:ind w:right="341" w:hanging="360"/>
      </w:pPr>
      <w:r>
        <w:rPr>
          <w:color w:val="323232"/>
        </w:rPr>
        <w:t>A member of the supervisory board may be removed by the general meeting before the expiry of his or her authorisations if the activities of the member of the supervisory board are in conflict with the code of ethics or good practices of non-governmental organisations and adversely affect the reputation of AKÜ.</w:t>
      </w:r>
    </w:p>
    <w:p w14:paraId="7DAEA845" w14:textId="77777777" w:rsidR="006A787A" w:rsidRPr="003B28F8" w:rsidRDefault="006A787A">
      <w:pPr>
        <w:spacing w:before="11"/>
        <w:rPr>
          <w:rFonts w:ascii="Arial" w:eastAsia="Arial" w:hAnsi="Arial" w:cs="Arial"/>
          <w:sz w:val="20"/>
          <w:szCs w:val="20"/>
          <w:lang w:val="et-EE"/>
        </w:rPr>
      </w:pPr>
    </w:p>
    <w:p w14:paraId="307A6677" w14:textId="77777777" w:rsidR="006A787A" w:rsidRPr="003B28F8" w:rsidRDefault="00DC2E50">
      <w:pPr>
        <w:pStyle w:val="BodyText"/>
        <w:numPr>
          <w:ilvl w:val="0"/>
          <w:numId w:val="1"/>
        </w:numPr>
        <w:tabs>
          <w:tab w:val="left" w:pos="582"/>
        </w:tabs>
        <w:spacing w:line="250" w:lineRule="auto"/>
        <w:ind w:right="658" w:hanging="360"/>
      </w:pPr>
      <w:r>
        <w:rPr>
          <w:color w:val="323232"/>
        </w:rPr>
        <w:t>The management board consisting of one to three members shall be elected by the supervisory board for a maximum period of three years. The supervisory board shall be competent to establish the procedure for remunerating members of the management board and sign contracts with them.</w:t>
      </w:r>
    </w:p>
    <w:p w14:paraId="62B99F65" w14:textId="77777777" w:rsidR="006A787A" w:rsidRPr="003B28F8" w:rsidRDefault="006A787A">
      <w:pPr>
        <w:spacing w:before="11"/>
        <w:rPr>
          <w:rFonts w:ascii="Arial" w:eastAsia="Arial" w:hAnsi="Arial" w:cs="Arial"/>
          <w:sz w:val="20"/>
          <w:szCs w:val="20"/>
          <w:lang w:val="et-EE"/>
        </w:rPr>
      </w:pPr>
    </w:p>
    <w:p w14:paraId="0624E06E" w14:textId="77777777" w:rsidR="006A787A" w:rsidRPr="003B28F8" w:rsidRDefault="00DC2E50">
      <w:pPr>
        <w:pStyle w:val="BodyText"/>
        <w:numPr>
          <w:ilvl w:val="0"/>
          <w:numId w:val="1"/>
        </w:numPr>
        <w:tabs>
          <w:tab w:val="left" w:pos="582"/>
        </w:tabs>
        <w:spacing w:line="250" w:lineRule="auto"/>
        <w:ind w:right="489" w:hanging="360"/>
      </w:pPr>
      <w:r>
        <w:rPr>
          <w:color w:val="323232"/>
        </w:rPr>
        <w:t>The assets remaining upon liquidation shall be granted to an association inscribed on the list of not-profit associations, foundations and religious associations benefiting from income tax incentives, or a legal person in public law.</w:t>
      </w:r>
    </w:p>
    <w:sectPr w:rsidR="006A787A" w:rsidRPr="003B28F8">
      <w:type w:val="continuous"/>
      <w:pgSz w:w="11920" w:h="16860"/>
      <w:pgMar w:top="1380" w:right="10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314C3"/>
    <w:multiLevelType w:val="hybridMultilevel"/>
    <w:tmpl w:val="523C47A0"/>
    <w:lvl w:ilvl="0" w:tplc="13643DFA">
      <w:start w:val="1"/>
      <w:numFmt w:val="decimal"/>
      <w:lvlText w:val="%1."/>
      <w:lvlJc w:val="left"/>
      <w:pPr>
        <w:ind w:left="581" w:hanging="361"/>
        <w:jc w:val="left"/>
      </w:pPr>
      <w:rPr>
        <w:rFonts w:ascii="Arial" w:eastAsia="Arial" w:hAnsi="Arial" w:hint="default"/>
        <w:sz w:val="20"/>
        <w:szCs w:val="20"/>
      </w:rPr>
    </w:lvl>
    <w:lvl w:ilvl="1" w:tplc="257C883E">
      <w:start w:val="1"/>
      <w:numFmt w:val="bullet"/>
      <w:lvlText w:val="•"/>
      <w:lvlJc w:val="left"/>
      <w:pPr>
        <w:ind w:left="1451" w:hanging="361"/>
      </w:pPr>
      <w:rPr>
        <w:rFonts w:hint="default"/>
      </w:rPr>
    </w:lvl>
    <w:lvl w:ilvl="2" w:tplc="2AF6A61A">
      <w:start w:val="1"/>
      <w:numFmt w:val="bullet"/>
      <w:lvlText w:val="•"/>
      <w:lvlJc w:val="left"/>
      <w:pPr>
        <w:ind w:left="2321" w:hanging="361"/>
      </w:pPr>
      <w:rPr>
        <w:rFonts w:hint="default"/>
      </w:rPr>
    </w:lvl>
    <w:lvl w:ilvl="3" w:tplc="E6062BEE">
      <w:start w:val="1"/>
      <w:numFmt w:val="bullet"/>
      <w:lvlText w:val="•"/>
      <w:lvlJc w:val="left"/>
      <w:pPr>
        <w:ind w:left="3191" w:hanging="361"/>
      </w:pPr>
      <w:rPr>
        <w:rFonts w:hint="default"/>
      </w:rPr>
    </w:lvl>
    <w:lvl w:ilvl="4" w:tplc="9F3E7438">
      <w:start w:val="1"/>
      <w:numFmt w:val="bullet"/>
      <w:lvlText w:val="•"/>
      <w:lvlJc w:val="left"/>
      <w:pPr>
        <w:ind w:left="4061" w:hanging="361"/>
      </w:pPr>
      <w:rPr>
        <w:rFonts w:hint="default"/>
      </w:rPr>
    </w:lvl>
    <w:lvl w:ilvl="5" w:tplc="138055DA">
      <w:start w:val="1"/>
      <w:numFmt w:val="bullet"/>
      <w:lvlText w:val="•"/>
      <w:lvlJc w:val="left"/>
      <w:pPr>
        <w:ind w:left="4930" w:hanging="361"/>
      </w:pPr>
      <w:rPr>
        <w:rFonts w:hint="default"/>
      </w:rPr>
    </w:lvl>
    <w:lvl w:ilvl="6" w:tplc="F99EDDC8">
      <w:start w:val="1"/>
      <w:numFmt w:val="bullet"/>
      <w:lvlText w:val="•"/>
      <w:lvlJc w:val="left"/>
      <w:pPr>
        <w:ind w:left="5800" w:hanging="361"/>
      </w:pPr>
      <w:rPr>
        <w:rFonts w:hint="default"/>
      </w:rPr>
    </w:lvl>
    <w:lvl w:ilvl="7" w:tplc="050CFFF2">
      <w:start w:val="1"/>
      <w:numFmt w:val="bullet"/>
      <w:lvlText w:val="•"/>
      <w:lvlJc w:val="left"/>
      <w:pPr>
        <w:ind w:left="6670" w:hanging="361"/>
      </w:pPr>
      <w:rPr>
        <w:rFonts w:hint="default"/>
      </w:rPr>
    </w:lvl>
    <w:lvl w:ilvl="8" w:tplc="8F182020">
      <w:start w:val="1"/>
      <w:numFmt w:val="bullet"/>
      <w:lvlText w:val="•"/>
      <w:lvlJc w:val="left"/>
      <w:pPr>
        <w:ind w:left="754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7A"/>
    <w:rsid w:val="00173E5B"/>
    <w:rsid w:val="001A4626"/>
    <w:rsid w:val="003B28F8"/>
    <w:rsid w:val="006A787A"/>
    <w:rsid w:val="00845F4F"/>
    <w:rsid w:val="008A4A92"/>
    <w:rsid w:val="00DC2E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DECA7"/>
  <w15:docId w15:val="{4635635C-E812-6144-A2E6-7AD48197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81"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3008</Characters>
  <Application>Microsoft Office Word</Application>
  <DocSecurity>0</DocSecurity>
  <Lines>61</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Sven Peterson</cp:lastModifiedBy>
  <cp:revision>2</cp:revision>
  <dcterms:created xsi:type="dcterms:W3CDTF">2021-04-30T08:55:00Z</dcterms:created>
  <dcterms:modified xsi:type="dcterms:W3CDTF">2021-04-30T08:55:00Z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2021-04-28T10:00:00Z</vt:filetime>
  </property>
  <property fmtid="{D5CDD505-2E9C-101B-9397-08002B2CF9AE}" pid="3" name="LastSaved">
    <vt:filetime>2021-04-28T10:00:00Z</vt:filetime>
  </property>
</Properties>
</file>